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3926840</wp:posOffset>
            </wp:positionH>
            <wp:positionV relativeFrom="paragraph">
              <wp:posOffset>-608330</wp:posOffset>
            </wp:positionV>
            <wp:extent cx="57150" cy="62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639445</wp:posOffset>
            </wp:positionV>
            <wp:extent cx="7048500" cy="4803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803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 Ying Dana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BUILDING 2, NO.8 BEICHEN WEST ROAD CHAOYANG DISTRICT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100101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3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Yuanbao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YB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7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1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06/25/2026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Operating Officer</w:t>
            </w: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12,000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08/01/2031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238,000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12,000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5"/>
              </w:rPr>
              <w:t>373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2,238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14.35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shares are fully vested and exercisable as of August 1, 2025.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is convertible at any time, at the holder's election, into six (6) Class A Ordinary Shares, with a par value of US$0.0001 per share, of Yuanbao Inc.. The ADSs have no expiration date.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ADSs acquired upon exercise of options.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ADSs sold to satisfy applicable tax withholding obligations in connection with the exercise of options. The price reported in Column 8 is a weighted average price per ADS sold.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/s/ Li Ying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06/29/2026</w:t>
            </w: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7725" TargetMode="External"/><Relationship Id="rId14" Type="http://schemas.openxmlformats.org/officeDocument/2006/relationships/hyperlink" Target="http://www.sec.gov/cgi-bin/browse-edgar?action=getcompany&amp;CIK=00019955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2026-06-29T05:29:17Z</dcterms:created>
  <dcterms:modified xsi:type="dcterms:W3CDTF">2026-06-29T05:29:17Z</dcterms:modified>
</cp:coreProperties>
</file>