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Yuanbao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HIKE Capital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5,409,944.00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5,409,944.00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5,409,944.00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The percentage is calculated based upon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194,348,706 Class A Ordinary Shares outstanding as of December 31, 2025, as reported on the 20-F filed by the Issuer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Lunar Link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20,766,793.00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20,766,793.00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40"/>
          </w:cols>
          <w:pgMar w:left="320" w:top="111" w:right="5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20,766,793.00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The percentage is calculated based upon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194,348,706 Class A Ordinary Shares outstanding as of December 31, 2025, as reported on the 20-F filed by the Issuer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Rocket Wise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40"/>
          </w:cols>
          <w:pgMar w:left="320" w:top="111" w:right="5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13,429,855.00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13,429,855.00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13,429,855.00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The percentage is calculated based upon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194,348,706 Class A Ordinary Shares outstanding as of December 31, 2025, as reported on the 20-F filed by the Issuer with the Securities and Exchange Commission on April 30, 2026.</w:t>
      </w:r>
    </w:p>
    <w:p>
      <w:pPr>
        <w:sectPr>
          <w:pgSz w:w="11900" w:h="16838" w:orient="portrait"/>
          <w:cols w:equalWidth="0" w:num="1">
            <w:col w:w="11040"/>
          </w:cols>
          <w:pgMar w:left="320" w:top="111" w:right="53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Yuanbao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BUILDING 2, NO.8 BEICHEN WEST ROAD, CHAOYANG DISTRICT, BEIJING, CHINA, 100101.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Lunar Link Limited Rocket Wise Limited HIKE Capital III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59"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 of Lunar Link Limited is Craigmuir Chambers, Road Town, Tortola, VG 1110, British Virgin Islands. The address of Rocket Wise Limited is Craigmuir Chambers, Road Town, Tortola, VG 1110, British Virgin Islands. The address of HIKE Capital III L.P. is POBox 309, Ugland House, Grand Cayman, KY1-1104, Cayman lslands.</w:t>
      </w:r>
    </w:p>
    <w:p>
      <w:pPr>
        <w:sectPr>
          <w:pgSz w:w="11900" w:h="16838" w:orient="portrait"/>
          <w:cols w:equalWidth="0" w:num="1">
            <w:col w:w="10900"/>
          </w:cols>
          <w:pgMar w:left="360" w:top="567" w:right="639" w:bottom="0" w:gutter="0" w:footer="0" w:header="0"/>
        </w:sect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Lunar Link Limited - British Virgin Island Rocket Wise Limited - British Virgin Island HIKE Capital III L.P. - Cayman Islands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of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9980"/>
          </w:cols>
          <w:pgMar w:left="360" w:top="567" w:right="639" w:bottom="0" w:gutter="0" w:footer="0" w:header="0"/>
          <w:type w:val="continuous"/>
        </w:sectPr>
      </w:pPr>
    </w:p>
    <w:p>
      <w:pPr>
        <w:spacing w:after="0" w:line="33" w:lineRule="exact"/>
        <w:rPr>
          <w:sz w:val="20"/>
          <w:szCs w:val="20"/>
          <w:color w:val="auto"/>
        </w:rPr>
      </w:pPr>
    </w:p>
    <w:p>
      <w:pPr>
        <w:ind w:left="920" w:right="1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set forth in Row (9) of the cover page for each of the Reporting Person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set forth in Row (11) of the cover page for each of the Reporting Person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set forth in Row (5) of the cover page for each of the Reporting Person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900"/>
          </w:cols>
          <w:pgMar w:left="360" w:top="567" w:right="6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ind w:right="420"/>
        <w:spacing w:after="0" w:line="258" w:lineRule="auto"/>
        <w:rPr>
          <w:sz w:val="20"/>
          <w:szCs w:val="20"/>
          <w:color w:val="auto"/>
        </w:rPr>
      </w:pPr>
      <w:r>
        <w:rPr>
          <w:rFonts w:ascii="Times New Roman" w:cs="Times New Roman" w:eastAsia="Times New Roman" w:hAnsi="Times New Roman"/>
          <w:sz w:val="22"/>
          <w:szCs w:val="22"/>
          <w:color w:val="auto"/>
        </w:rPr>
        <w:t>The information set forth in Row (6) of the cover page for each of the Reporting Person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information set forth in Row (7) of the cover page for each of the Reporting Person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information set forth in Row (8) of the cover page for each of the Reporting Person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HIKE Capital III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 XU</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Lunar Link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 XU</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Rocket Wise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 XU</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 dated May 12, 2026, by and among the Reporting Persons</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2026-05-12T07:11:42Z</dcterms:created>
  <dcterms:modified xsi:type="dcterms:W3CDTF">2026-05-12T07:11:42Z</dcterms:modified>
</cp:coreProperties>
</file>